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Ind w:type="dxa" w:w="0"/>
        <w:tblLayout w:type="fixed"/>
        <w:tblCellMar>
          <w:top w:type="dxa" w:w="0"/>
          <w:left w:type="dxa" w:w="10"/>
          <w:bottom w:type="dxa" w:w="0"/>
          <w:right w:type="dxa" w:w="10"/>
        </w:tblCellMar>
      </w:tblPr>
      <w:tblGrid>
        <w:gridCol w:w="541"/>
        <w:gridCol w:w="1635"/>
        <w:gridCol w:w="28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4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b w:val="1"/>
                <w:color w:val="000000"/>
                <w:sz w:val="24"/>
              </w:rPr>
              <w:t>АДМИНИСТРАЦИЯ КАШИНСКОГО МУНИЦИПАЛЬНОГО ОКРУГА</w:t>
            </w:r>
          </w:p>
          <w:p w14:paraId="0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b w:val="1"/>
                <w:color w:val="000000"/>
                <w:sz w:val="24"/>
              </w:rPr>
              <w:t>ТВЕРСКОЙ ОБЛАСТИ</w:t>
            </w:r>
          </w:p>
          <w:p w14:paraId="0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b w:val="1"/>
                <w:color w:val="000000"/>
                <w:sz w:val="32"/>
              </w:rPr>
            </w:pPr>
          </w:p>
          <w:p w14:paraId="0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b w:val="1"/>
                <w:color w:val="000000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от</w:t>
            </w:r>
          </w:p>
        </w:tc>
        <w:tc>
          <w:tcPr>
            <w:tcW w:type="dxa" w:w="1635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24.03.2026</w:t>
            </w:r>
          </w:p>
        </w:tc>
        <w:tc>
          <w:tcPr>
            <w:tcW w:type="dxa" w:w="5280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г. Кашин</w:t>
            </w:r>
          </w:p>
        </w:tc>
        <w:tc>
          <w:tcPr>
            <w:tcW w:type="dxa" w:w="687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№</w:t>
            </w:r>
          </w:p>
        </w:tc>
        <w:tc>
          <w:tcPr>
            <w:tcW w:type="dxa" w:w="1498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  <w:r>
              <w:rPr>
                <w:rFonts w:ascii="XO Thames" w:hAnsi="XO Thames"/>
                <w:color w:val="000000"/>
                <w:sz w:val="28"/>
              </w:rPr>
              <w:t>245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 условиях приватизации имущества, находящегося в муниципальной собственности муниципального образования Кашинский муниципальный округ Тверской области, в электронной форме</w:t>
            </w:r>
          </w:p>
        </w:tc>
        <w:tc>
          <w:tcPr>
            <w:tcW w:type="dxa" w:w="4579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color w:val="000000"/>
                <w:sz w:val="28"/>
              </w:rPr>
            </w:pPr>
          </w:p>
        </w:tc>
      </w:tr>
    </w:tbl>
    <w:p w14:paraId="0E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0F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10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1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Уставом Кашинского муниципального округа Тверской области, Порядком управления и распоряжения имуществом, находящимся в муниципальной собственности муниципального образования Кашинский городской округ Тверской области, утвержденным решением Кашинской городской Думы от 12.02.2019 № 110, прогнозным планом (программой) приватизации муниципального имущества муниципального образования Кашинский муниципального округ Тверской области на 202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>–202</w:t>
      </w:r>
      <w:r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 xml:space="preserve"> годы, утвержденным решением </w:t>
      </w:r>
      <w:r>
        <w:rPr>
          <w:rFonts w:ascii="Times New Roman" w:hAnsi="Times New Roman"/>
          <w:color w:val="000000"/>
          <w:sz w:val="28"/>
        </w:rPr>
        <w:t xml:space="preserve">Думы </w:t>
      </w:r>
      <w:r>
        <w:rPr>
          <w:rFonts w:ascii="Times New Roman" w:hAnsi="Times New Roman"/>
          <w:color w:val="000000"/>
          <w:sz w:val="28"/>
        </w:rPr>
        <w:t>Кашинско</w:t>
      </w:r>
      <w:r>
        <w:rPr>
          <w:rFonts w:ascii="Times New Roman" w:hAnsi="Times New Roman"/>
          <w:color w:val="000000"/>
          <w:sz w:val="28"/>
        </w:rPr>
        <w:t xml:space="preserve">гог муниципального округаТверской области </w:t>
      </w:r>
      <w:r>
        <w:rPr>
          <w:rFonts w:ascii="Times New Roman" w:hAnsi="Times New Roman"/>
          <w:color w:val="000000"/>
          <w:sz w:val="28"/>
        </w:rPr>
        <w:t xml:space="preserve">от </w:t>
      </w:r>
      <w:r>
        <w:rPr>
          <w:rFonts w:ascii="Times New Roman" w:hAnsi="Times New Roman"/>
          <w:color w:val="000000"/>
          <w:sz w:val="28"/>
        </w:rPr>
        <w:t>16</w:t>
      </w:r>
      <w:r>
        <w:rPr>
          <w:rFonts w:ascii="Times New Roman" w:hAnsi="Times New Roman"/>
          <w:color w:val="000000"/>
          <w:sz w:val="28"/>
        </w:rPr>
        <w:t>.12.202</w:t>
      </w: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№</w:t>
      </w:r>
      <w:r>
        <w:rPr>
          <w:rFonts w:ascii="Times New Roman" w:hAnsi="Times New Roman"/>
          <w:color w:val="000000"/>
          <w:sz w:val="28"/>
        </w:rPr>
        <w:t xml:space="preserve"> 191,</w:t>
      </w:r>
      <w:r>
        <w:rPr>
          <w:rFonts w:ascii="Times New Roman" w:hAnsi="Times New Roman"/>
          <w:color w:val="000000"/>
          <w:sz w:val="28"/>
        </w:rPr>
        <w:t xml:space="preserve"> отчетами об оценке объектов оценки, Администрация Кашинского муниципального округа Тверской области</w:t>
      </w:r>
    </w:p>
    <w:p w14:paraId="1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1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ПОСТАНОВЛЯЕТ:</w:t>
      </w:r>
    </w:p>
    <w:p w14:paraId="1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1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1. Приватизировать имущество, находящееся в муниципальной собственности муниципального образования Кашинский муниципальный округ Тверской области, в соответствии с перечнем согласно приложению 1 к настоящему постановлению (далее также — Имущество), путем продажи на аукционе в электронной форме с открытой формой подачи предложений о цене Имущества на Универсальной торговой платформе АО «Сбербанк-АСТ» — utp.sberbank-ast.ru (далее также — аукцион).</w:t>
      </w:r>
    </w:p>
    <w:p w14:paraId="1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 Определить:</w:t>
      </w:r>
    </w:p>
    <w:p w14:paraId="1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2.1. начальную цену продаваемого на аукционе Имущества (далее также — начальная цена продажи Имущества), определенную на основании отчета об оценке объекта оценки, составленного в соответствии с законодательством об оценочной деятельности, согласно приложению 1 к настоящему постановлению;</w:t>
      </w:r>
    </w:p>
    <w:p w14:paraId="1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2.2. задаток на участие в аукционе в размере 10 процентов начальной цены продажи Имущества;</w:t>
      </w:r>
    </w:p>
    <w:p w14:paraId="1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2.3. величину повышения начальной цены («шаг аукциона») в фиксированной сумме, составляющей 5 (пять) процентов начальной цены продажи Имущества (с учетом налога на добавленную стоимость).</w:t>
      </w:r>
    </w:p>
    <w:p w14:paraId="1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 Утвердить электронную форму заявки на участие в продаже Имущества (приложение 2 к настоящему постановлению).</w:t>
      </w:r>
    </w:p>
    <w:p w14:paraId="1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4. Комитету по управлению имуществом Администрации Кашинского муниципального округа Тверской области осуществить необходимые действия по реализации пункта 1 настоящего постановления. </w:t>
      </w:r>
    </w:p>
    <w:p w14:paraId="1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 Денежные средства в счет оплаты Имущества подлежат перечислению победителем аукциона в безналичном порядке в бюджет Кашинского муниципального округа Тверской области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14:paraId="1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6. Информационные сообщения о проведении аукциона по продаже Имущества в электронной форме и об итогах его продажи подлежат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на официальном сайте Кашинского муниципального округа Тверской области в информационно-телекоммуникационной сети «Интернет» и на Универсальной торговой платформе АО «Сбербанк-АСТ» — utp.sberbank-ast.ru.</w:t>
      </w:r>
    </w:p>
    <w:p w14:paraId="1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7. Считать настоящее постановление решением об условиях приватизации Имущества.</w:t>
      </w:r>
    </w:p>
    <w:p w14:paraId="1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8. Контроль за исполнением настоящего постановления возложить на председателя Комитета по управлению имуществом Администрации Кашинского муниципального округа Тверской области </w:t>
      </w:r>
      <w:r>
        <w:rPr>
          <w:rFonts w:ascii="Times New Roman" w:hAnsi="Times New Roman"/>
          <w:color w:val="000000"/>
          <w:sz w:val="28"/>
        </w:rPr>
        <w:t>О.А. Стионову</w:t>
      </w:r>
      <w:r>
        <w:rPr>
          <w:rFonts w:ascii="Times New Roman" w:hAnsi="Times New Roman"/>
          <w:color w:val="000000"/>
          <w:sz w:val="28"/>
        </w:rPr>
        <w:t>.</w:t>
      </w:r>
    </w:p>
    <w:p w14:paraId="2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9. Настоящее постановление вступает в силу со дня его подписания и в течение 10 дней со дня вступления его в силу подлежит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2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tbl>
      <w:tblPr>
        <w:tblStyle w:val="Style_1"/>
        <w:tblW w:type="auto" w:w="0"/>
        <w:tblInd w:type="dxa" w:w="0"/>
        <w:tblLayout w:type="fixed"/>
        <w:tblCellMar>
          <w:top w:type="dxa" w:w="0"/>
          <w:left w:type="dxa" w:w="10"/>
          <w:bottom w:type="dxa" w:w="0"/>
          <w:right w:type="dxa" w:w="10"/>
        </w:tblCellMar>
      </w:tblPr>
      <w:tblGrid>
        <w:gridCol w:w="6443"/>
        <w:gridCol w:w="3197"/>
      </w:tblGrid>
      <w:tr>
        <w:tc>
          <w:tcPr>
            <w:tcW w:type="dxa" w:w="6443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</w:rPr>
              <w:t>лава Кашинского муниципального округа Тверской области</w:t>
            </w:r>
          </w:p>
        </w:tc>
        <w:tc>
          <w:tcPr>
            <w:tcW w:type="dxa" w:w="3197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4000000">
            <w:pPr>
              <w:widowControl w:val="1"/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.В. </w:t>
            </w:r>
            <w:r>
              <w:rPr>
                <w:rFonts w:ascii="Times New Roman" w:hAnsi="Times New Roman"/>
                <w:color w:val="000000"/>
                <w:sz w:val="28"/>
              </w:rPr>
              <w:t>Рагузин</w:t>
            </w:r>
          </w:p>
        </w:tc>
      </w:tr>
    </w:tbl>
    <w:p w14:paraId="25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26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27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28000000">
      <w:pPr>
        <w:widowControl w:val="1"/>
        <w:spacing w:after="0" w:line="240" w:lineRule="auto"/>
        <w:ind w:firstLine="5" w:left="3686"/>
        <w:jc w:val="right"/>
        <w:rPr>
          <w:rFonts w:ascii="Times New Roman" w:hAnsi="Times New Roman"/>
          <w:sz w:val="24"/>
        </w:rPr>
      </w:pPr>
    </w:p>
    <w:p w14:paraId="29000000">
      <w:pPr>
        <w:widowControl w:val="1"/>
        <w:spacing w:after="0" w:line="240" w:lineRule="auto"/>
        <w:ind w:firstLine="5" w:left="510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 1</w:t>
      </w:r>
    </w:p>
    <w:p w14:paraId="2A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Администрации</w:t>
      </w:r>
    </w:p>
    <w:p w14:paraId="2B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Кашинского муниципального округа Тверской области</w:t>
      </w:r>
    </w:p>
    <w:p w14:paraId="2C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24.03.2026</w:t>
      </w:r>
      <w:r>
        <w:rPr>
          <w:rFonts w:ascii="Times New Roman" w:hAnsi="Times New Roman"/>
          <w:sz w:val="24"/>
        </w:rPr>
        <w:t xml:space="preserve"> № 245</w:t>
      </w:r>
      <w:r>
        <w:rPr>
          <w:rFonts w:ascii="Times New Roman" w:hAnsi="Times New Roman"/>
          <w:sz w:val="24"/>
        </w:rPr>
        <w:t xml:space="preserve"> </w:t>
      </w:r>
    </w:p>
    <w:p w14:paraId="2D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ПЕРЕЧЕНЬ</w:t>
      </w:r>
    </w:p>
    <w:p w14:paraId="2E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имущества, находящегося в муниципальной собственности муниципального образования </w:t>
      </w:r>
    </w:p>
    <w:p w14:paraId="2F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Кашинский муниципальный округ Тверской области, подлежащего приватизации</w:t>
      </w:r>
    </w:p>
    <w:p w14:paraId="3000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61"/>
        <w:gridCol w:w="2128"/>
        <w:gridCol w:w="2401"/>
        <w:gridCol w:w="2709"/>
        <w:gridCol w:w="1841"/>
      </w:tblGrid>
      <w:tr>
        <w:tc>
          <w:tcPr>
            <w:tcW w:type="dxa" w:w="5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00000"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№ п/п</w:t>
            </w:r>
          </w:p>
        </w:tc>
        <w:tc>
          <w:tcPr>
            <w:tcW w:type="dxa" w:w="2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00000"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Наименование объекта</w:t>
            </w:r>
          </w:p>
        </w:tc>
        <w:tc>
          <w:tcPr>
            <w:tcW w:type="dxa" w:w="2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00000"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Адрес (местонахождение) объекта</w:t>
            </w:r>
          </w:p>
        </w:tc>
        <w:tc>
          <w:tcPr>
            <w:tcW w:type="dxa" w:w="2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Индивидуализирующие характеристики объекта</w:t>
            </w:r>
          </w:p>
        </w:tc>
        <w:tc>
          <w:tcPr>
            <w:tcW w:type="dxa" w:w="18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00000"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Начальная цена продаваемого на аукционе Имущества, (с НДС) руб.</w:t>
            </w:r>
          </w:p>
        </w:tc>
      </w:tr>
      <w:tr>
        <w:tc>
          <w:tcPr>
            <w:tcW w:type="dxa" w:w="5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type="dxa" w:w="2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00000">
            <w:pPr>
              <w:widowControl w:val="1"/>
              <w:ind w:left="-77"/>
              <w:jc w:val="left"/>
              <w:rPr>
                <w:sz w:val="22"/>
              </w:rPr>
            </w:pPr>
            <w:r>
              <w:rPr>
                <w:sz w:val="22"/>
              </w:rPr>
              <w:t>Нежилое здание (дом культуры) с земельным участком</w:t>
            </w:r>
          </w:p>
        </w:tc>
        <w:tc>
          <w:tcPr>
            <w:tcW w:type="dxa" w:w="2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widowControl w:val="1"/>
              <w:ind w:left="-104"/>
              <w:jc w:val="left"/>
              <w:rPr>
                <w:sz w:val="22"/>
              </w:rPr>
            </w:pPr>
            <w:r>
              <w:rPr>
                <w:sz w:val="22"/>
              </w:rPr>
              <w:t>Тверская область, Кашинский муниципальный округ, деревня Фалево, улица Школьная, дом 4</w:t>
            </w:r>
          </w:p>
        </w:tc>
        <w:tc>
          <w:tcPr>
            <w:tcW w:type="dxa" w:w="2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widowControl w:val="1"/>
              <w:ind/>
              <w:jc w:val="left"/>
              <w:rPr>
                <w:sz w:val="22"/>
                <w:vertAlign w:val="superscript"/>
              </w:rPr>
            </w:pPr>
            <w:r>
              <w:rPr>
                <w:sz w:val="22"/>
              </w:rPr>
              <w:t>Назначение: нежилое Кадастровый номер здания: 69:12:0120101:142 Площадь здания: 281,6 м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 xml:space="preserve"> Кадастровый номер земельного участка: 69:12:0120101:90 Площадь земельного участка: 1248 м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>категория земельного участка: земли населенных пунктов, вид разрешенного использования: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для общественно-деловых целей (дом культура)</w:t>
            </w:r>
          </w:p>
        </w:tc>
        <w:tc>
          <w:tcPr>
            <w:tcW w:type="dxa" w:w="18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00000">
            <w:pPr>
              <w:widowControl w:val="1"/>
              <w:ind/>
              <w:jc w:val="both"/>
              <w:rPr>
                <w:sz w:val="22"/>
              </w:rPr>
            </w:pPr>
            <w:r>
              <w:rPr>
                <w:sz w:val="22"/>
              </w:rPr>
              <w:t>585 000,00</w:t>
            </w:r>
          </w:p>
        </w:tc>
      </w:tr>
      <w:tr>
        <w:tc>
          <w:tcPr>
            <w:tcW w:type="dxa" w:w="5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type="dxa" w:w="21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widowControl w:val="1"/>
              <w:spacing w:after="0" w:line="240" w:lineRule="auto"/>
              <w:ind w:left="-77"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Нежил</w:t>
            </w:r>
            <w:r>
              <w:rPr>
                <w:rFonts w:ascii="Times New Roman" w:hAnsi="Times New Roman"/>
                <w:color w:val="000000"/>
                <w:sz w:val="22"/>
              </w:rPr>
              <w:t>ы</w:t>
            </w:r>
            <w:r>
              <w:rPr>
                <w:rFonts w:ascii="Times New Roman" w:hAnsi="Times New Roman"/>
                <w:color w:val="000000"/>
                <w:sz w:val="22"/>
              </w:rPr>
              <w:t>е здани</w:t>
            </w:r>
            <w:r>
              <w:rPr>
                <w:rFonts w:ascii="Times New Roman" w:hAnsi="Times New Roman"/>
                <w:color w:val="000000"/>
                <w:sz w:val="22"/>
              </w:rPr>
              <w:t>я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2"/>
              </w:rPr>
              <w:t>кормоцех и подсобное помещение кормоцеха)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с земельным участком</w:t>
            </w:r>
          </w:p>
          <w:p w14:paraId="3D000000">
            <w:pPr>
              <w:widowControl w:val="1"/>
              <w:ind w:left="-77"/>
              <w:jc w:val="left"/>
              <w:rPr>
                <w:sz w:val="22"/>
              </w:rPr>
            </w:pPr>
          </w:p>
        </w:tc>
        <w:tc>
          <w:tcPr>
            <w:tcW w:type="dxa" w:w="24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00000">
            <w:pPr>
              <w:widowControl w:val="1"/>
              <w:ind w:left="-104"/>
              <w:jc w:val="left"/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Тверская область, Кашинский муниципальный округ, деревня Верхняя Троица</w:t>
            </w:r>
          </w:p>
        </w:tc>
        <w:tc>
          <w:tcPr>
            <w:tcW w:type="dxa" w:w="2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00000">
            <w:pPr>
              <w:widowControl w:val="1"/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Назначение: нежилое Кадастровый номер </w:t>
            </w:r>
            <w:r>
              <w:rPr>
                <w:rFonts w:ascii="Times New Roman" w:hAnsi="Times New Roman"/>
                <w:color w:val="000000"/>
                <w:sz w:val="22"/>
              </w:rPr>
              <w:t>кормоцеха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: 69:12:0000022:586 Площадь здания: </w:t>
            </w:r>
            <w:r>
              <w:rPr>
                <w:rFonts w:ascii="Times New Roman" w:hAnsi="Times New Roman"/>
                <w:color w:val="000000"/>
                <w:sz w:val="22"/>
              </w:rPr>
              <w:t>838</w:t>
            </w:r>
            <w:r>
              <w:rPr>
                <w:rFonts w:ascii="Times New Roman" w:hAnsi="Times New Roman"/>
                <w:color w:val="000000"/>
                <w:sz w:val="22"/>
              </w:rPr>
              <w:t>,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2"/>
              </w:rPr>
              <w:t>м</w:t>
            </w:r>
            <w:r>
              <w:rPr>
                <w:rFonts w:ascii="Times New Roman" w:hAnsi="Times New Roman"/>
                <w:color w:val="000000"/>
                <w:sz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Кадастровый номер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подсобного помещения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2"/>
              </w:rPr>
              <w:t>ормоцеха: 69:12:0000022:58</w:t>
            </w:r>
            <w:r>
              <w:rPr>
                <w:rFonts w:ascii="Times New Roman" w:hAnsi="Times New Roman"/>
                <w:color w:val="000000"/>
                <w:sz w:val="22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Площадь здания: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313,7 </w:t>
            </w:r>
            <w:r>
              <w:rPr>
                <w:rFonts w:ascii="Times New Roman" w:hAnsi="Times New Roman"/>
                <w:color w:val="000000"/>
                <w:sz w:val="22"/>
              </w:rPr>
              <w:t>м</w:t>
            </w:r>
            <w:r>
              <w:rPr>
                <w:rFonts w:ascii="Times New Roman" w:hAnsi="Times New Roman"/>
                <w:color w:val="000000"/>
                <w:sz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Кадастровый номер земельного участка: </w:t>
            </w:r>
            <w:r>
              <w:rPr>
                <w:rFonts w:ascii="Times New Roman" w:hAnsi="Times New Roman"/>
                <w:color w:val="000000"/>
                <w:sz w:val="22"/>
              </w:rPr>
              <w:t>69:12:0000022:</w:t>
            </w:r>
            <w:r>
              <w:rPr>
                <w:rFonts w:ascii="Times New Roman" w:hAnsi="Times New Roman"/>
                <w:color w:val="000000"/>
                <w:sz w:val="22"/>
              </w:rPr>
              <w:t>598</w:t>
            </w:r>
          </w:p>
          <w:p w14:paraId="40000000">
            <w:pPr>
              <w:widowControl w:val="1"/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Площадь земельного участка: </w:t>
            </w:r>
            <w:r>
              <w:rPr>
                <w:rFonts w:ascii="Times New Roman" w:hAnsi="Times New Roman"/>
                <w:color w:val="000000"/>
                <w:sz w:val="22"/>
              </w:rPr>
              <w:t>3122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м</w:t>
            </w:r>
            <w:r>
              <w:rPr>
                <w:rFonts w:ascii="Times New Roman" w:hAnsi="Times New Roman"/>
                <w:color w:val="000000"/>
                <w:sz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Категория земель: </w:t>
            </w:r>
            <w:r>
              <w:rPr>
                <w:rFonts w:ascii="Times New Roman" w:hAnsi="Times New Roman"/>
                <w:color w:val="000000"/>
                <w:sz w:val="22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Вид разрешенного использования: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Животноводство</w:t>
            </w:r>
          </w:p>
        </w:tc>
        <w:tc>
          <w:tcPr>
            <w:tcW w:type="dxa" w:w="18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00000">
            <w:pPr>
              <w:widowControl w:val="1"/>
              <w:ind/>
              <w:jc w:val="both"/>
              <w:rPr>
                <w:sz w:val="22"/>
              </w:rPr>
            </w:pPr>
            <w:r>
              <w:rPr>
                <w:sz w:val="22"/>
              </w:rPr>
              <w:t>450 000,00</w:t>
            </w:r>
          </w:p>
        </w:tc>
      </w:tr>
    </w:tbl>
    <w:p w14:paraId="42000000">
      <w:pPr>
        <w:widowControl w:val="1"/>
        <w:spacing w:after="0" w:line="240" w:lineRule="auto"/>
        <w:ind w:firstLine="5"/>
        <w:jc w:val="both"/>
        <w:rPr>
          <w:rFonts w:ascii="Times New Roman" w:hAnsi="Times New Roman"/>
          <w:sz w:val="24"/>
        </w:rPr>
      </w:pPr>
    </w:p>
    <w:p w14:paraId="43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 2</w:t>
      </w:r>
    </w:p>
    <w:p w14:paraId="44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Администрации</w:t>
      </w:r>
    </w:p>
    <w:p w14:paraId="45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Кашинского муниципального округа Тверской области</w:t>
      </w:r>
    </w:p>
    <w:p w14:paraId="46000000">
      <w:pPr>
        <w:widowControl w:val="1"/>
        <w:spacing w:after="0" w:line="240" w:lineRule="auto"/>
        <w:ind w:firstLine="5" w:left="5812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24.03.2026</w:t>
      </w:r>
      <w:r>
        <w:rPr>
          <w:rFonts w:ascii="Times New Roman" w:hAnsi="Times New Roman"/>
          <w:sz w:val="24"/>
        </w:rPr>
        <w:t xml:space="preserve"> № 245</w:t>
      </w:r>
      <w:r>
        <w:rPr>
          <w:rFonts w:ascii="Times New Roman" w:hAnsi="Times New Roman"/>
          <w:sz w:val="24"/>
        </w:rPr>
        <w:t xml:space="preserve"> </w:t>
      </w:r>
    </w:p>
    <w:p w14:paraId="47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48000000">
      <w:pPr>
        <w:widowControl w:val="1"/>
        <w:spacing w:after="0" w:line="240" w:lineRule="auto"/>
        <w:ind w:left="5670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Организатору торгов (Продавцу): </w:t>
      </w:r>
      <w:r>
        <w:rPr>
          <w:rFonts w:ascii="Times New Roman" w:hAnsi="Times New Roman"/>
          <w:color w:val="000000"/>
          <w:sz w:val="24"/>
        </w:rPr>
        <w:t>Комитету по управлению имуществом Администрации Кашинского муниципального округа Тверской области</w:t>
      </w:r>
    </w:p>
    <w:p w14:paraId="49000000">
      <w:pPr>
        <w:widowControl w:val="1"/>
        <w:spacing w:after="0" w:line="240" w:lineRule="auto"/>
        <w:ind/>
        <w:rPr>
          <w:rFonts w:ascii="Times New Roman" w:hAnsi="Times New Roman"/>
          <w:spacing w:val="100"/>
          <w:sz w:val="24"/>
        </w:rPr>
      </w:pPr>
    </w:p>
    <w:p w14:paraId="4A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ЗАЯВКА 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>на участие в аукционе в электронной форме по продаже муниципального имущества муниципального образования Кашинский муниципальный округ Тверской области</w:t>
      </w:r>
    </w:p>
    <w:p w14:paraId="4B000000">
      <w:pPr>
        <w:widowControl w:val="1"/>
        <w:spacing w:after="0" w:line="240" w:lineRule="auto"/>
        <w:ind/>
        <w:rPr>
          <w:rFonts w:ascii="Times New Roman" w:hAnsi="Times New Roman"/>
          <w:sz w:val="20"/>
        </w:rPr>
      </w:pP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253"/>
        <w:gridCol w:w="8387"/>
      </w:tblGrid>
      <w:tr>
        <w:tc>
          <w:tcPr>
            <w:tcW w:type="dxa" w:w="1253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C000000">
            <w:pPr>
              <w:rPr>
                <w:sz w:val="18"/>
              </w:rPr>
            </w:pPr>
            <w:r>
              <w:rPr>
                <w:b w:val="1"/>
                <w:sz w:val="18"/>
              </w:rPr>
              <w:t>Претендент</w:t>
            </w:r>
          </w:p>
        </w:tc>
        <w:tc>
          <w:tcPr>
            <w:tcW w:type="dxa" w:w="8387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4D000000">
      <w:pPr>
        <w:widowControl w:val="1"/>
        <w:spacing w:after="0" w:line="240" w:lineRule="auto"/>
        <w:ind w:left="113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 xml:space="preserve">фамилия, имя, отчество (при наличии) физического лица или ИП или полное наименование </w:t>
      </w:r>
    </w:p>
    <w:p w14:paraId="4E000000">
      <w:pPr>
        <w:widowControl w:val="1"/>
        <w:spacing w:after="0" w:line="240" w:lineRule="auto"/>
        <w:ind w:left="113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юридического лица с указанием организационно-правовой формы, подающего заявку</w:t>
      </w:r>
      <w:r>
        <w:rPr>
          <w:rFonts w:ascii="Times New Roman" w:hAnsi="Times New Roman"/>
          <w:sz w:val="20"/>
        </w:rPr>
        <w:t>)</w:t>
      </w: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80"/>
        <w:gridCol w:w="4958"/>
      </w:tblGrid>
      <w:tr>
        <w:tc>
          <w:tcPr>
            <w:tcW w:type="dxa" w:w="9638"/>
            <w:gridSpan w:val="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F000000">
            <w:pPr>
              <w:widowControl w:val="1"/>
              <w:ind/>
              <w:jc w:val="center"/>
            </w:pPr>
          </w:p>
        </w:tc>
      </w:tr>
      <w:tr>
        <w:tc>
          <w:tcPr>
            <w:tcW w:type="dxa" w:w="4680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0000000">
            <w:pPr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</w:rPr>
              <w:t xml:space="preserve">далее также — Претендент) </w:t>
            </w:r>
            <w:r>
              <w:rPr>
                <w:b w:val="1"/>
                <w:sz w:val="18"/>
              </w:rPr>
              <w:t>в лице представителя</w:t>
            </w:r>
          </w:p>
        </w:tc>
        <w:tc>
          <w:tcPr>
            <w:tcW w:type="dxa" w:w="4958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51000000">
      <w:pPr>
        <w:widowControl w:val="1"/>
        <w:spacing w:after="0" w:line="240" w:lineRule="auto"/>
        <w:ind w:left="482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 xml:space="preserve">фамилия, имя, отчество (при наличии) </w:t>
      </w:r>
    </w:p>
    <w:p w14:paraId="52000000">
      <w:pPr>
        <w:widowControl w:val="1"/>
        <w:spacing w:after="0" w:line="240" w:lineRule="auto"/>
        <w:ind w:left="482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представителя Претендента)</w:t>
      </w:r>
    </w:p>
    <w:p w14:paraId="53000000">
      <w:pPr>
        <w:widowControl w:val="1"/>
        <w:spacing w:after="0" w:before="12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b w:val="1"/>
          <w:sz w:val="20"/>
        </w:rPr>
        <w:t>действующий на основании</w:t>
      </w:r>
      <w:r>
        <w:rPr>
          <w:rFonts w:ascii="XO Thames" w:hAnsi="XO Thames"/>
          <w:b w:val="1"/>
          <w:color w:val="000000"/>
          <w:sz w:val="20"/>
          <w:vertAlign w:val="superscript"/>
        </w:rPr>
        <w:footnoteReference w:id="1"/>
      </w:r>
      <w:r>
        <w:rPr>
          <w:rFonts w:ascii="Times New Roman" w:hAnsi="Times New Roman"/>
          <w:sz w:val="20"/>
        </w:rPr>
        <w:t>_____________________________________________________________________</w:t>
      </w:r>
    </w:p>
    <w:p w14:paraId="54000000">
      <w:pPr>
        <w:widowControl w:val="1"/>
        <w:spacing w:after="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(Устава, Положения, приказа и т.д.)</w:t>
      </w:r>
    </w:p>
    <w:p w14:paraId="55000000">
      <w:pPr>
        <w:widowControl w:val="1"/>
        <w:spacing w:after="0" w:before="12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b w:val="1"/>
          <w:sz w:val="20"/>
        </w:rPr>
        <w:t xml:space="preserve"> (заполняется физическим лицом, индивидуальным предпринимателем)</w:t>
      </w: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910"/>
        <w:gridCol w:w="5966"/>
      </w:tblGrid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Паспортные данные (серия, номер, дата выдачи, кем выдан):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Адрес регистрации по месту жительства: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9000000">
            <w:pPr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A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Адрес регистрации по месту пребывания: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00000">
            <w:pPr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C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Контактный телефон: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00000">
            <w:pPr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Электронная почта: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00000">
            <w:pPr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Дата регистрации в качестве индивидуального предпринимателя: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1000000">
            <w:pPr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ОГРН индивидуального предпринимателя: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pPr>
              <w:rPr>
                <w:b w:val="1"/>
                <w:i w:val="1"/>
                <w:sz w:val="24"/>
              </w:rPr>
            </w:pPr>
          </w:p>
        </w:tc>
      </w:tr>
    </w:tbl>
    <w:p w14:paraId="64000000">
      <w:pPr>
        <w:widowControl w:val="1"/>
        <w:spacing w:after="0" w:before="12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b w:val="1"/>
          <w:sz w:val="20"/>
        </w:rPr>
        <w:t>(заполняется юридическим лицом)</w:t>
      </w: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910"/>
        <w:gridCol w:w="5966"/>
      </w:tblGrid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5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Адрес местонахождения: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6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7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Почтовый адрес: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8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Контактный телефон: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B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Электронная почта: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D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ОГРН: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E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F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ИНН: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0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</w:tbl>
    <w:p w14:paraId="71000000">
      <w:pPr>
        <w:widowControl w:val="1"/>
        <w:spacing w:after="0" w:before="120" w:line="240" w:lineRule="auto"/>
        <w:ind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(для представителя Претендента</w:t>
      </w:r>
      <w:r>
        <w:rPr>
          <w:rFonts w:ascii="XO Thames" w:hAnsi="XO Thames"/>
          <w:b w:val="1"/>
          <w:color w:val="000000"/>
          <w:sz w:val="20"/>
          <w:vertAlign w:val="superscript"/>
        </w:rPr>
        <w:footnoteReference w:id="2"/>
      </w:r>
      <w:r>
        <w:rPr>
          <w:rFonts w:ascii="Times New Roman" w:hAnsi="Times New Roman"/>
          <w:b w:val="1"/>
          <w:sz w:val="20"/>
        </w:rPr>
        <w:t>)</w:t>
      </w: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910"/>
        <w:gridCol w:w="5966"/>
      </w:tblGrid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Должность (при наличии), фамилия, имя, отчество (при наличии):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Действует на основании (наименование, дата и номер документа (документов), подтверждающего (подтверждающих) полномочия):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6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Паспортные данные (серия, номер, дата выдачи, кем выдан):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7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8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Адрес регистрации по месту жительства: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9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A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Адрес регистрации по месту пребывания: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B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rPr>
          <w:trHeight w:hRule="atLeast" w:val="217"/>
        </w:trP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C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Контактный телефон: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D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rPr>
          <w:trHeight w:hRule="atLeast" w:val="351"/>
        </w:trP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E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Электронная почта: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F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</w:tbl>
    <w:p w14:paraId="80000000">
      <w:pPr>
        <w:widowControl w:val="0"/>
        <w:spacing w:after="0" w:before="120" w:line="240" w:lineRule="auto"/>
        <w:ind/>
        <w:jc w:val="both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принял решение об участии в аукционе по продаже Имущества (лота):</w:t>
      </w:r>
    </w:p>
    <w:tbl>
      <w:tblPr>
        <w:tblStyle w:val="Style_1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910"/>
        <w:gridCol w:w="5966"/>
      </w:tblGrid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1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Дата аукциона: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3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Номер лота: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4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5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Наименование Имущества (лота):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6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  <w:tr>
        <w:tc>
          <w:tcPr>
            <w:tcW w:type="dxa" w:w="39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7000000">
            <w:pPr>
              <w:widowControl w:val="1"/>
              <w:ind/>
              <w:jc w:val="left"/>
              <w:rPr>
                <w:sz w:val="24"/>
              </w:rPr>
            </w:pPr>
            <w:r>
              <w:rPr>
                <w:sz w:val="24"/>
              </w:rPr>
              <w:t>Адрес (местонахождение) Имущества (лота):</w:t>
            </w:r>
          </w:p>
        </w:tc>
        <w:tc>
          <w:tcPr>
            <w:tcW w:type="dxa" w:w="5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8000000">
            <w:pPr>
              <w:widowControl w:val="1"/>
              <w:ind/>
              <w:jc w:val="left"/>
              <w:rPr>
                <w:b w:val="1"/>
                <w:i w:val="1"/>
                <w:sz w:val="24"/>
              </w:rPr>
            </w:pPr>
          </w:p>
        </w:tc>
      </w:tr>
    </w:tbl>
    <w:p w14:paraId="89000000">
      <w:pPr>
        <w:widowControl w:val="0"/>
        <w:spacing w:after="0" w:line="240" w:lineRule="auto"/>
        <w:ind/>
        <w:jc w:val="both"/>
        <w:rPr>
          <w:rFonts w:ascii="Times New Roman" w:hAnsi="Times New Roman"/>
          <w:b w:val="1"/>
          <w:sz w:val="2"/>
        </w:rPr>
      </w:pPr>
    </w:p>
    <w:tbl>
      <w:tblPr>
        <w:tblStyle w:val="Style_1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901"/>
        <w:gridCol w:w="762"/>
        <w:gridCol w:w="2110"/>
        <w:gridCol w:w="867"/>
      </w:tblGrid>
      <w:tr>
        <w:tc>
          <w:tcPr>
            <w:tcW w:type="dxa" w:w="590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A000000">
            <w:pPr>
              <w:widowControl w:val="0"/>
              <w:ind/>
              <w:jc w:val="both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 обязуется обеспечить поступление задатка в размере</w:t>
            </w:r>
          </w:p>
        </w:tc>
        <w:tc>
          <w:tcPr>
            <w:tcW w:type="dxa" w:w="2872"/>
            <w:gridSpan w:val="2"/>
            <w:tcBorders>
              <w:top w:color="000000" w:sz="4" w:val="nil"/>
              <w:left w:color="000000" w:sz="4" w:val="nil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B000000">
            <w:pPr>
              <w:widowControl w:val="0"/>
              <w:ind/>
              <w:jc w:val="both"/>
              <w:rPr>
                <w:b w:val="1"/>
                <w:i w:val="1"/>
                <w:sz w:val="24"/>
              </w:rPr>
            </w:pPr>
          </w:p>
        </w:tc>
        <w:tc>
          <w:tcPr>
            <w:tcW w:type="dxa" w:w="86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C000000">
            <w:pPr>
              <w:widowControl w:val="0"/>
              <w:ind/>
              <w:jc w:val="both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руб.</w:t>
            </w:r>
          </w:p>
        </w:tc>
      </w:tr>
      <w:tr>
        <w:tc>
          <w:tcPr>
            <w:tcW w:type="dxa" w:w="6663"/>
            <w:gridSpan w:val="2"/>
            <w:tcBorders>
              <w:top w:color="000000" w:sz="4" w:val="nil"/>
              <w:left w:color="000000" w:sz="4" w:val="nil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D000000">
            <w:pPr>
              <w:widowControl w:val="0"/>
              <w:ind/>
              <w:jc w:val="both"/>
              <w:rPr>
                <w:b w:val="1"/>
              </w:rPr>
            </w:pPr>
          </w:p>
        </w:tc>
        <w:tc>
          <w:tcPr>
            <w:tcW w:type="dxa" w:w="2977"/>
            <w:gridSpan w:val="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E000000">
            <w:pPr>
              <w:widowControl w:val="0"/>
              <w:ind/>
              <w:jc w:val="both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(сумма прописью),</w:t>
            </w:r>
          </w:p>
        </w:tc>
      </w:tr>
    </w:tbl>
    <w:p w14:paraId="8F000000">
      <w:pPr>
        <w:widowControl w:val="0"/>
        <w:spacing w:after="0" w:line="240" w:lineRule="auto"/>
        <w:ind/>
        <w:jc w:val="both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в сроки и в порядке установленные в информационном сообщении на указанный лот.</w:t>
      </w:r>
    </w:p>
    <w:p w14:paraId="90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 Претендент обязуется:</w:t>
      </w:r>
    </w:p>
    <w:p w14:paraId="91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1.1. соблюдать условия аукциона, проводимого в электронной форме, содержащиеся в информационном сообщении о проведении аукциона, размещенном на официальном сайте Кашинского муниципального округа Тверской области в информационно-телекоммуникационной сети «Интернет» — www.kashin.info и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 — www.torgi.gov.ru, а также порядок проведения аукциона, установленный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860;</w:t>
      </w:r>
    </w:p>
    <w:p w14:paraId="92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1.2. в случае признания Победителем аукциона заключить с Продавцом договор купли-продажи Имущества не позднее пяти рабочих дней со дня подведения итогов аукциона, в соответствии с порядком и требованиями, установленными в информационном сообщении и договоре купли-продажи Имущества;</w:t>
      </w:r>
    </w:p>
    <w:p w14:paraId="93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1.3. произвести оплату стоимости Имущества, установленной по результатам аукциона, в сроки и на счет, установленные договором купли-продажи Имущества. </w:t>
      </w:r>
    </w:p>
    <w:p w14:paraId="94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2. Задаток Победителя аукциона засчитывается в счет оплаты приобретаемого Имущества (лота). </w:t>
      </w:r>
    </w:p>
    <w:p w14:paraId="95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3. Претендент извещён о том, что он вправе отозвать настоящую Заявку в порядке и в сроки, установленные в информационном сообщении.</w:t>
      </w:r>
    </w:p>
    <w:p w14:paraId="96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4. Ответственность за достоверность представленных документов и информации несет Претендент. </w:t>
      </w:r>
    </w:p>
    <w:p w14:paraId="97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5. Претендент подтверждает, что соответствует требованиям, установленным статьей 5 Федерального закона от 21.12.2001 № 178-ФЗ «О приватизации государственного и муниципального имущества» </w:t>
      </w:r>
      <w:r>
        <w:rPr>
          <w:rFonts w:ascii="Times New Roman" w:hAnsi="Times New Roman"/>
          <w:sz w:val="20"/>
        </w:rPr>
        <w:br/>
      </w:r>
      <w:r>
        <w:rPr>
          <w:rFonts w:ascii="Times New Roman" w:hAnsi="Times New Roman"/>
          <w:sz w:val="20"/>
        </w:rPr>
        <w:t>(далее также — Закон) и не является:</w:t>
      </w:r>
    </w:p>
    <w:p w14:paraId="98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– государственным и муниципальным унитарным предприятием, государственным и муниципальным учреждением;</w:t>
      </w:r>
    </w:p>
    <w:p w14:paraId="99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– юридическим лицом, в уставном капитале которого доля Российской Федерации, субъектов Российской Федерации и муниципальных образований превышает 25 процентов, кроме случаев, предусмотренных статьей 25 Закона;</w:t>
      </w:r>
    </w:p>
    <w:p w14:paraId="9A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– 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которое не осуществляет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14:paraId="9B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6. 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 Имущества. </w:t>
      </w:r>
    </w:p>
    <w:p w14:paraId="9C000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 В соответствии с Федеральным законом от 27.07.2006 № 152-ФЗ «О персональных данных», подавая настоящую Заявку, Претендент дает согласие на обработку персональных данных, указанных в представленных документах и информации в связи с участием в аукционе.</w:t>
      </w:r>
    </w:p>
    <w:p w14:paraId="9D000000">
      <w:pPr>
        <w:widowControl w:val="1"/>
        <w:spacing w:after="0" w:line="240" w:lineRule="auto"/>
        <w:ind/>
        <w:rPr>
          <w:rFonts w:ascii="XO Thames" w:hAnsi="XO Thames"/>
          <w:color w:val="000000"/>
          <w:sz w:val="20"/>
        </w:rPr>
      </w:pPr>
      <w:r>
        <w:rPr>
          <w:rFonts w:ascii="Times New Roman" w:hAnsi="Times New Roman"/>
          <w:b w:val="1"/>
          <w:sz w:val="20"/>
        </w:rPr>
        <w:t>Банковские реквизиты Претендента:</w:t>
      </w:r>
      <w:r>
        <w:rPr>
          <w:rFonts w:ascii="XO Thames" w:hAnsi="XO Thames"/>
          <w:color w:val="000000"/>
          <w:sz w:val="16"/>
        </w:rPr>
        <w:t xml:space="preserve"> ___________________________________________________________________________________________________________________</w:t>
      </w:r>
    </w:p>
    <w:p w14:paraId="9E000000">
      <w:pPr>
        <w:widowControl w:val="1"/>
        <w:spacing w:after="0" w:line="240" w:lineRule="auto"/>
        <w:ind/>
        <w:jc w:val="center"/>
        <w:rPr>
          <w:rFonts w:ascii="XO Thames" w:hAnsi="XO Thames"/>
          <w:b w:val="1"/>
          <w:color w:val="000000"/>
          <w:sz w:val="20"/>
        </w:rPr>
      </w:pPr>
      <w:r>
        <w:rPr>
          <w:rFonts w:ascii="XO Thames" w:hAnsi="XO Thames"/>
          <w:color w:val="000000"/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1"/>
        <w:tblW w:type="auto" w:w="0"/>
        <w:tblInd w:type="dxa" w:w="-7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033"/>
        <w:gridCol w:w="689"/>
        <w:gridCol w:w="689"/>
        <w:gridCol w:w="604"/>
        <w:gridCol w:w="774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>
        <w:trPr>
          <w:trHeight w:hRule="atLeast" w:val="187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F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20"/>
              </w:rPr>
              <w:t xml:space="preserve">ИНН </w:t>
            </w:r>
            <w:r>
              <w:rPr>
                <w:rFonts w:ascii="XO Thames" w:hAnsi="XO Thames"/>
                <w:color w:val="000000"/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0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1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04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774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B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</w:tr>
      <w:tr>
        <w:trPr>
          <w:trHeight w:hRule="atLeast" w:val="244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C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20"/>
              </w:rPr>
              <w:t>КПП</w:t>
            </w:r>
            <w:r>
              <w:rPr>
                <w:rFonts w:ascii="XO Thames" w:hAnsi="XO Thames"/>
                <w:color w:val="000000"/>
                <w:sz w:val="20"/>
                <w:vertAlign w:val="superscript"/>
              </w:rPr>
              <w:t xml:space="preserve"> </w:t>
            </w:r>
            <w:r>
              <w:rPr>
                <w:rFonts w:ascii="XO Thames" w:hAnsi="XO Thames"/>
                <w:color w:val="000000"/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D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E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04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F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774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0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1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</w:tr>
    </w:tbl>
    <w:p w14:paraId="B9000000">
      <w:pPr>
        <w:widowControl w:val="1"/>
        <w:spacing w:after="0" w:line="240" w:lineRule="auto"/>
        <w:ind/>
        <w:jc w:val="both"/>
        <w:rPr>
          <w:rFonts w:ascii="XO Thames" w:hAnsi="XO Thames"/>
          <w:color w:val="000000"/>
          <w:sz w:val="20"/>
        </w:rPr>
      </w:pPr>
      <w:r>
        <w:rPr>
          <w:rFonts w:ascii="XO Thames" w:hAnsi="XO Thames"/>
          <w:color w:val="000000"/>
          <w:sz w:val="16"/>
        </w:rPr>
        <w:t>____________________________________________________________________________________________________________________</w:t>
      </w:r>
    </w:p>
    <w:p w14:paraId="BA000000">
      <w:pPr>
        <w:widowControl w:val="1"/>
        <w:spacing w:after="0" w:line="240" w:lineRule="auto"/>
        <w:ind/>
        <w:jc w:val="center"/>
        <w:rPr>
          <w:rFonts w:ascii="XO Thames" w:hAnsi="XO Thames"/>
          <w:b w:val="1"/>
          <w:color w:val="000000"/>
          <w:sz w:val="6"/>
        </w:rPr>
      </w:pPr>
      <w:r>
        <w:rPr>
          <w:rFonts w:ascii="XO Thames" w:hAnsi="XO Thames"/>
          <w:color w:val="000000"/>
          <w:sz w:val="20"/>
        </w:rPr>
        <w:t xml:space="preserve">(Наименование Банка в котором у </w:t>
      </w:r>
      <w:r>
        <w:rPr>
          <w:rFonts w:ascii="XO Thames" w:hAnsi="XO Thames"/>
          <w:color w:val="000000"/>
          <w:sz w:val="19"/>
        </w:rPr>
        <w:t xml:space="preserve">Претендента </w:t>
      </w:r>
      <w:r>
        <w:rPr>
          <w:rFonts w:ascii="XO Thames" w:hAnsi="XO Thames"/>
          <w:color w:val="000000"/>
          <w:sz w:val="20"/>
        </w:rPr>
        <w:t>открыт счет; название города, где находится банк</w:t>
      </w:r>
      <w:r>
        <w:rPr>
          <w:rFonts w:ascii="XO Thames" w:hAnsi="XO Thames"/>
          <w:color w:val="000000"/>
        </w:rPr>
        <w:t>)</w:t>
      </w:r>
    </w:p>
    <w:p w14:paraId="BB000000">
      <w:pPr>
        <w:widowControl w:val="1"/>
        <w:spacing w:after="0" w:line="240" w:lineRule="auto"/>
        <w:ind/>
        <w:jc w:val="both"/>
        <w:rPr>
          <w:rFonts w:ascii="XO Thames" w:hAnsi="XO Thames"/>
          <w:color w:val="000000"/>
          <w:sz w:val="6"/>
        </w:rPr>
      </w:pPr>
    </w:p>
    <w:tbl>
      <w:tblPr>
        <w:tblStyle w:val="Style_1"/>
        <w:tblW w:type="auto" w:w="0"/>
        <w:tblInd w:type="dxa" w:w="112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33"/>
        <w:gridCol w:w="55"/>
      </w:tblGrid>
      <w:tr>
        <w:trPr>
          <w:trHeight w:hRule="atLeast" w:val="224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C000000">
            <w:pPr>
              <w:widowControl w:val="1"/>
              <w:tabs>
                <w:tab w:leader="none" w:pos="900" w:val="left"/>
              </w:tabs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20"/>
              </w:rPr>
              <w:t>р/с или (л/с)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D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E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F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0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1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B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C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D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E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F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288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0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</w:tr>
      <w:tr>
        <w:trPr>
          <w:trHeight w:hRule="atLeast" w:val="239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1000000">
            <w:pPr>
              <w:widowControl w:val="1"/>
              <w:tabs>
                <w:tab w:leader="none" w:pos="900" w:val="left"/>
              </w:tabs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20"/>
              </w:rPr>
              <w:t>к/с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B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C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D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E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F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0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1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2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288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6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18"/>
              </w:rPr>
              <w:t>ИНН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B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C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D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E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F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75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0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203"/>
            <w:gridSpan w:val="11"/>
            <w:tcBorders>
              <w:lef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1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55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2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18"/>
              </w:rPr>
              <w:t>БИК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6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7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9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B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733"/>
            <w:gridSpan w:val="14"/>
            <w:tcBorders>
              <w:lef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C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D00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  <w:r>
              <w:rPr>
                <w:rFonts w:ascii="XO Thames" w:hAnsi="XO Thames"/>
                <w:color w:val="000000"/>
                <w:sz w:val="18"/>
              </w:rPr>
              <w:t>КПП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E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F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0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2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3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4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5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601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color w:val="000000"/>
                <w:sz w:val="18"/>
              </w:rPr>
            </w:pPr>
          </w:p>
        </w:tc>
        <w:tc>
          <w:tcPr>
            <w:tcW w:type="dxa" w:w="4733"/>
            <w:gridSpan w:val="14"/>
            <w:tcBorders>
              <w:left w:color="C0C0C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10000">
            <w:pPr>
              <w:widowControl w:val="1"/>
              <w:spacing w:after="0" w:line="240" w:lineRule="auto"/>
              <w:ind/>
              <w:rPr>
                <w:rFonts w:ascii="XO Thames" w:hAnsi="XO Thames"/>
                <w:color w:val="000000"/>
                <w:sz w:val="18"/>
              </w:rPr>
            </w:pPr>
          </w:p>
        </w:tc>
      </w:tr>
    </w:tbl>
    <w:p w14:paraId="08010000">
      <w:pPr>
        <w:widowControl w:val="1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Одновременно с настоящей Заявкой претенденты представляют документы, указанные в статье 16 Закона.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 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tbl>
      <w:tblPr>
        <w:tblStyle w:val="Style_1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950"/>
        <w:gridCol w:w="419"/>
        <w:gridCol w:w="1355"/>
        <w:gridCol w:w="281"/>
        <w:gridCol w:w="5633"/>
      </w:tblGrid>
      <w:tr>
        <w:tc>
          <w:tcPr>
            <w:tcW w:type="dxa" w:w="195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10000">
            <w:pPr>
              <w:widowControl w:val="1"/>
              <w:ind w:firstLine="0"/>
              <w:jc w:val="left"/>
            </w:pPr>
            <w:r>
              <w:t>Приложение:</w:t>
            </w:r>
          </w:p>
        </w:tc>
        <w:tc>
          <w:tcPr>
            <w:tcW w:type="dxa" w:w="41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10000">
            <w:pPr>
              <w:widowControl w:val="1"/>
              <w:numPr>
                <w:ilvl w:val="0"/>
                <w:numId w:val="0"/>
              </w:numPr>
              <w:ind/>
              <w:jc w:val="both"/>
            </w:pPr>
          </w:p>
        </w:tc>
        <w:tc>
          <w:tcPr>
            <w:tcW w:type="dxa" w:w="726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10000">
            <w:pPr>
              <w:widowControl w:val="1"/>
              <w:ind/>
              <w:jc w:val="both"/>
            </w:pPr>
          </w:p>
        </w:tc>
      </w:tr>
      <w:tr>
        <w:tc>
          <w:tcPr>
            <w:tcW w:type="dxa" w:w="195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10000">
            <w:pPr>
              <w:widowControl w:val="1"/>
              <w:ind w:firstLine="567"/>
              <w:jc w:val="both"/>
            </w:pPr>
          </w:p>
        </w:tc>
        <w:tc>
          <w:tcPr>
            <w:tcW w:type="dxa" w:w="41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10000">
            <w:pPr>
              <w:widowControl w:val="1"/>
              <w:numPr>
                <w:ilvl w:val="0"/>
                <w:numId w:val="0"/>
              </w:numPr>
              <w:ind/>
              <w:jc w:val="both"/>
            </w:pPr>
          </w:p>
        </w:tc>
        <w:tc>
          <w:tcPr>
            <w:tcW w:type="dxa" w:w="726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10000">
            <w:pPr>
              <w:widowControl w:val="1"/>
              <w:ind/>
              <w:jc w:val="both"/>
            </w:pPr>
          </w:p>
        </w:tc>
      </w:tr>
      <w:tr>
        <w:tc>
          <w:tcPr>
            <w:tcW w:type="dxa" w:w="195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10000">
            <w:pPr>
              <w:widowControl w:val="1"/>
              <w:ind w:firstLine="567"/>
              <w:jc w:val="both"/>
            </w:pPr>
          </w:p>
        </w:tc>
        <w:tc>
          <w:tcPr>
            <w:tcW w:type="dxa" w:w="41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10000">
            <w:pPr>
              <w:widowControl w:val="1"/>
              <w:numPr>
                <w:ilvl w:val="0"/>
                <w:numId w:val="0"/>
              </w:numPr>
              <w:ind/>
              <w:jc w:val="both"/>
            </w:pPr>
          </w:p>
        </w:tc>
        <w:tc>
          <w:tcPr>
            <w:tcW w:type="dxa" w:w="726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10000">
            <w:pPr>
              <w:widowControl w:val="1"/>
              <w:ind/>
              <w:jc w:val="both"/>
            </w:pPr>
          </w:p>
        </w:tc>
      </w:tr>
      <w:tr>
        <w:tc>
          <w:tcPr>
            <w:tcW w:type="dxa" w:w="195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10000">
            <w:pPr>
              <w:widowControl w:val="1"/>
              <w:ind/>
              <w:jc w:val="both"/>
            </w:pPr>
          </w:p>
        </w:tc>
        <w:tc>
          <w:tcPr>
            <w:tcW w:type="dxa" w:w="41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10000">
            <w:pPr>
              <w:widowControl w:val="1"/>
              <w:ind/>
              <w:jc w:val="both"/>
            </w:pPr>
          </w:p>
        </w:tc>
        <w:tc>
          <w:tcPr>
            <w:tcW w:type="dxa" w:w="726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10000">
            <w:pPr>
              <w:widowControl w:val="1"/>
              <w:ind/>
              <w:jc w:val="both"/>
            </w:pPr>
          </w:p>
        </w:tc>
      </w:tr>
      <w:tr>
        <w:tc>
          <w:tcPr>
            <w:tcW w:type="dxa" w:w="3724"/>
            <w:gridSpan w:val="3"/>
            <w:tcBorders>
              <w:top w:color="000000" w:sz="4" w:val="single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10000">
            <w:pPr>
              <w:widowControl w:val="1"/>
              <w:ind/>
              <w:jc w:val="center"/>
              <w:rPr>
                <w:b w:val="1"/>
                <w:sz w:val="24"/>
              </w:rPr>
            </w:pPr>
            <w:r>
              <w:rPr>
                <w:sz w:val="24"/>
              </w:rPr>
              <w:t>(должность (при наличии), подпись Претендента (полномочного представителя Претендента))</w:t>
            </w:r>
          </w:p>
        </w:tc>
        <w:tc>
          <w:tcPr>
            <w:tcW w:type="dxa" w:w="2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10000">
            <w:pPr>
              <w:widowControl w:val="1"/>
              <w:ind/>
              <w:jc w:val="center"/>
              <w:rPr>
                <w:sz w:val="24"/>
              </w:rPr>
            </w:pPr>
          </w:p>
        </w:tc>
        <w:tc>
          <w:tcPr>
            <w:tcW w:type="dxa" w:w="5633"/>
            <w:tcBorders>
              <w:top w:color="000000" w:sz="4" w:val="single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10000">
            <w:pPr>
              <w:widowControl w:val="1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(фамилия, имя, отчество (при наличии))</w:t>
            </w:r>
          </w:p>
        </w:tc>
      </w:tr>
    </w:tbl>
    <w:p w14:paraId="18010000">
      <w:pPr>
        <w:widowControl w:val="1"/>
        <w:spacing w:after="0" w:line="240" w:lineRule="auto"/>
        <w:ind w:left="3969"/>
      </w:pPr>
      <w:r>
        <w:rPr>
          <w:rFonts w:ascii="Times New Roman" w:hAnsi="Times New Roman"/>
          <w:b w:val="1"/>
          <w:sz w:val="20"/>
        </w:rPr>
        <w:t xml:space="preserve">М.П. </w:t>
      </w:r>
      <w:r>
        <w:rPr>
          <w:rFonts w:ascii="Times New Roman" w:hAnsi="Times New Roman"/>
          <w:sz w:val="20"/>
        </w:rPr>
        <w:t>(при наличии)</w:t>
      </w:r>
      <w:r>
        <w:rPr>
          <w:rFonts w:ascii="Times New Roman" w:hAnsi="Times New Roman"/>
          <w:sz w:val="20"/>
        </w:rPr>
        <w:t xml:space="preserve"> «___» ___________ 20___ г.</w:t>
      </w:r>
    </w:p>
    <w:p w14:paraId="1901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1A010000">
      <w:pPr>
        <w:widowControl w:val="1"/>
        <w:spacing w:after="0" w:line="240" w:lineRule="auto"/>
        <w:ind/>
        <w:rPr>
          <w:rFonts w:ascii="XO Thames" w:hAnsi="XO Thames"/>
          <w:color w:val="000000"/>
          <w:sz w:val="24"/>
        </w:rPr>
      </w:pPr>
    </w:p>
    <w:p w14:paraId="1B010000">
      <w:pPr>
        <w:pStyle w:val="Style_2"/>
      </w:pPr>
    </w:p>
    <w:sectPr>
      <w:pgSz w:h="16848" w:orient="portrait" w:w="11908"/>
      <w:pgMar w:bottom="1134" w:footer="1134" w:header="1134" w:left="1701" w:right="567" w:top="1134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20010000">
      <w:pPr>
        <w:widowControl w:val="1"/>
        <w:spacing w:after="0" w:line="240" w:lineRule="auto"/>
        <w:ind/>
      </w:pPr>
      <w:r>
        <w:separator/>
      </w:r>
    </w:p>
  </w:endnote>
  <w:endnote w:id="0" w:type="continuationSeparator">
    <w:p w14:paraId="21010000">
      <w:pPr>
        <w:widowControl w:val="1"/>
        <w:spacing w:after="0" w:line="240" w:lineRule="auto"/>
        <w:ind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1C010000">
      <w:pPr>
        <w:widowControl w:val="1"/>
        <w:spacing w:after="0" w:line="240" w:lineRule="auto"/>
        <w:ind/>
      </w:pPr>
      <w:r>
        <w:separator/>
      </w:r>
    </w:p>
  </w:footnote>
  <w:footnote w:id="0" w:type="continuationSeparator">
    <w:p w14:paraId="1D010000">
      <w:pPr>
        <w:widowControl w:val="1"/>
        <w:spacing w:after="0" w:line="240" w:lineRule="auto"/>
        <w:ind/>
      </w:pPr>
      <w:r>
        <w:continuationSeparator/>
      </w:r>
    </w:p>
  </w:footnote>
  <w:footnote w:id="1">
    <w:p w14:paraId="1E010000">
      <w:pPr>
        <w:pStyle w:val="Style_18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юридическим лицом</w:t>
      </w:r>
    </w:p>
  </w:footnote>
  <w:footnote w:id="2">
    <w:p w14:paraId="1F010000">
      <w:pPr>
        <w:pStyle w:val="Style_18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Обычный1"/>
    <w:link w:val="Style_3_ch"/>
    <w:rPr>
      <w:sz w:val="28"/>
    </w:rPr>
  </w:style>
  <w:style w:styleId="Style_3_ch" w:type="character">
    <w:name w:val="Обычный1"/>
    <w:link w:val="Style_3"/>
    <w:rPr>
      <w:sz w:val="28"/>
    </w:rPr>
  </w:style>
  <w:style w:styleId="Style_4" w:type="paragraph">
    <w:name w:val="toc 2"/>
    <w:next w:val="Style_2"/>
    <w:link w:val="Style_4_ch"/>
    <w:uiPriority w:val="39"/>
    <w:pPr>
      <w:widowControl w:val="1"/>
      <w:ind w:firstLine="0" w:left="200"/>
    </w:pPr>
    <w:rPr>
      <w:sz w:val="28"/>
    </w:rPr>
  </w:style>
  <w:style w:styleId="Style_4_ch" w:type="character">
    <w:name w:val="toc 2"/>
    <w:link w:val="Style_4"/>
    <w:rPr>
      <w:sz w:val="28"/>
    </w:rPr>
  </w:style>
  <w:style w:styleId="Style_5" w:type="paragraph">
    <w:name w:val="toc 4"/>
    <w:next w:val="Style_2"/>
    <w:link w:val="Style_5_ch"/>
    <w:uiPriority w:val="39"/>
    <w:pPr>
      <w:widowControl w:val="1"/>
      <w:ind w:firstLine="0" w:left="600"/>
    </w:pPr>
    <w:rPr>
      <w:sz w:val="28"/>
    </w:rPr>
  </w:style>
  <w:style w:styleId="Style_5_ch" w:type="character">
    <w:name w:val="toc 4"/>
    <w:link w:val="Style_5"/>
    <w:rPr>
      <w:sz w:val="28"/>
    </w:rPr>
  </w:style>
  <w:style w:styleId="Style_6" w:type="paragraph">
    <w:name w:val="toc 6"/>
    <w:next w:val="Style_2"/>
    <w:link w:val="Style_6_ch"/>
    <w:uiPriority w:val="39"/>
    <w:pPr>
      <w:widowControl w:val="1"/>
      <w:ind w:firstLine="0" w:left="1000"/>
    </w:pPr>
    <w:rPr>
      <w:sz w:val="28"/>
    </w:rPr>
  </w:style>
  <w:style w:styleId="Style_6_ch" w:type="character">
    <w:name w:val="toc 6"/>
    <w:link w:val="Style_6"/>
    <w:rPr>
      <w:sz w:val="28"/>
    </w:rPr>
  </w:style>
  <w:style w:styleId="Style_7" w:type="paragraph">
    <w:name w:val="toc 7"/>
    <w:next w:val="Style_2"/>
    <w:link w:val="Style_7_ch"/>
    <w:uiPriority w:val="39"/>
    <w:pPr>
      <w:widowControl w:val="1"/>
      <w:ind w:firstLine="0" w:left="1200"/>
    </w:pPr>
    <w:rPr>
      <w:sz w:val="28"/>
    </w:rPr>
  </w:style>
  <w:style w:styleId="Style_7_ch" w:type="character">
    <w:name w:val="toc 7"/>
    <w:link w:val="Style_7"/>
    <w:rPr>
      <w:sz w:val="28"/>
    </w:rPr>
  </w:style>
  <w:style w:styleId="Style_8" w:type="paragraph">
    <w:name w:val="Обычный1"/>
    <w:link w:val="Style_8_ch"/>
    <w:rPr>
      <w:sz w:val="28"/>
    </w:rPr>
  </w:style>
  <w:style w:styleId="Style_8_ch" w:type="character">
    <w:name w:val="Обычный1"/>
    <w:link w:val="Style_8"/>
    <w:rPr>
      <w:sz w:val="28"/>
    </w:rPr>
  </w:style>
  <w:style w:styleId="Style_9" w:type="paragraph">
    <w:name w:val="Endnote"/>
    <w:link w:val="Style_9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2"/>
    </w:pPr>
    <w:rPr>
      <w:b w:val="1"/>
      <w:sz w:val="26"/>
    </w:rPr>
  </w:style>
  <w:style w:styleId="Style_10_ch" w:type="character">
    <w:name w:val="heading 3"/>
    <w:link w:val="Style_10"/>
    <w:rPr>
      <w:b w:val="1"/>
      <w:sz w:val="26"/>
    </w:rPr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12" w:type="paragraph">
    <w:name w:val="toc 3"/>
    <w:next w:val="Style_2"/>
    <w:link w:val="Style_12_ch"/>
    <w:uiPriority w:val="39"/>
    <w:pPr>
      <w:widowControl w:val="1"/>
      <w:ind w:firstLine="0" w:left="400"/>
    </w:pPr>
    <w:rPr>
      <w:sz w:val="28"/>
    </w:rPr>
  </w:style>
  <w:style w:styleId="Style_12_ch" w:type="character">
    <w:name w:val="toc 3"/>
    <w:link w:val="Style_12"/>
    <w:rPr>
      <w:sz w:val="28"/>
    </w:rPr>
  </w:style>
  <w:style w:styleId="Style_13" w:type="paragraph">
    <w:name w:val="Гиперссылка1"/>
    <w:link w:val="Style_13_ch"/>
    <w:rPr>
      <w:color w:val="0000FF"/>
      <w:u w:val="single"/>
    </w:rPr>
  </w:style>
  <w:style w:styleId="Style_13_ch" w:type="character">
    <w:name w:val="Гиперссылка1"/>
    <w:link w:val="Style_13"/>
    <w:rPr>
      <w:color w:val="0000FF"/>
      <w:u w:val="single"/>
    </w:rPr>
  </w:style>
  <w:style w:styleId="Style_14" w:type="paragraph">
    <w:name w:val="Гиперссылка1"/>
    <w:link w:val="Style_14_ch"/>
    <w:rPr>
      <w:color w:val="0000FF"/>
      <w:u w:val="single"/>
    </w:rPr>
  </w:style>
  <w:style w:styleId="Style_14_ch" w:type="character">
    <w:name w:val="Гиперссылка1"/>
    <w:link w:val="Style_14"/>
    <w:rPr>
      <w:color w:val="0000FF"/>
      <w:u w:val="single"/>
    </w:rPr>
  </w:style>
  <w:style w:styleId="Style_15" w:type="paragraph">
    <w:name w:val="heading 5"/>
    <w:next w:val="Style_2"/>
    <w:link w:val="Style_15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4"/>
    </w:pPr>
    <w:rPr>
      <w:b w:val="1"/>
      <w:sz w:val="22"/>
    </w:rPr>
  </w:style>
  <w:style w:styleId="Style_15_ch" w:type="character">
    <w:name w:val="heading 5"/>
    <w:link w:val="Style_15"/>
    <w:rPr>
      <w:b w:val="1"/>
      <w:sz w:val="22"/>
    </w:rPr>
  </w:style>
  <w:style w:styleId="Style_16" w:type="paragraph">
    <w:name w:val="heading 1"/>
    <w:next w:val="Style_2"/>
    <w:link w:val="Style_16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0"/>
    </w:pPr>
    <w:rPr>
      <w:b w:val="1"/>
      <w:sz w:val="32"/>
    </w:rPr>
  </w:style>
  <w:style w:styleId="Style_16_ch" w:type="character">
    <w:name w:val="heading 1"/>
    <w:link w:val="Style_16"/>
    <w:rPr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 w:left="0"/>
      <w:jc w:val="both"/>
    </w:pPr>
    <w:rPr>
      <w:sz w:val="22"/>
    </w:rPr>
  </w:style>
  <w:style w:styleId="Style_18_ch" w:type="character">
    <w:name w:val="Footnote"/>
    <w:link w:val="Style_18"/>
    <w:rPr>
      <w:sz w:val="22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1"/>
    <w:next w:val="Style_2"/>
    <w:link w:val="Style_20_ch"/>
    <w:uiPriority w:val="39"/>
    <w:rPr>
      <w:b w:val="1"/>
      <w:sz w:val="28"/>
    </w:rPr>
  </w:style>
  <w:style w:styleId="Style_20_ch" w:type="character">
    <w:name w:val="toc 1"/>
    <w:link w:val="Style_20"/>
    <w:rPr>
      <w:b w:val="1"/>
      <w:sz w:val="28"/>
    </w:rPr>
  </w:style>
  <w:style w:styleId="Style_21" w:type="paragraph">
    <w:name w:val="Header and Footer"/>
    <w:link w:val="Style_21_ch"/>
    <w:pPr>
      <w:widowControl w:val="1"/>
      <w:ind/>
      <w:jc w:val="both"/>
    </w:pPr>
    <w:rPr>
      <w:sz w:val="20"/>
    </w:rPr>
  </w:style>
  <w:style w:styleId="Style_21_ch" w:type="character">
    <w:name w:val="Header and Footer"/>
    <w:link w:val="Style_21"/>
    <w:rPr>
      <w:sz w:val="20"/>
    </w:rPr>
  </w:style>
  <w:style w:styleId="Style_22" w:type="paragraph">
    <w:name w:val="toc 9"/>
    <w:next w:val="Style_2"/>
    <w:link w:val="Style_22_ch"/>
    <w:uiPriority w:val="39"/>
    <w:pPr>
      <w:widowControl w:val="1"/>
      <w:ind w:firstLine="0" w:left="1600"/>
    </w:pPr>
    <w:rPr>
      <w:sz w:val="28"/>
    </w:rPr>
  </w:style>
  <w:style w:styleId="Style_22_ch" w:type="character">
    <w:name w:val="toc 9"/>
    <w:link w:val="Style_22"/>
    <w:rPr>
      <w:sz w:val="28"/>
    </w:rPr>
  </w:style>
  <w:style w:styleId="Style_23" w:type="paragraph">
    <w:name w:val="toc 8"/>
    <w:next w:val="Style_2"/>
    <w:link w:val="Style_23_ch"/>
    <w:uiPriority w:val="39"/>
    <w:pPr>
      <w:widowControl w:val="1"/>
      <w:ind w:firstLine="0" w:left="1400"/>
    </w:pPr>
    <w:rPr>
      <w:sz w:val="28"/>
    </w:rPr>
  </w:style>
  <w:style w:styleId="Style_23_ch" w:type="character">
    <w:name w:val="toc 8"/>
    <w:link w:val="Style_23"/>
    <w:rPr>
      <w:sz w:val="28"/>
    </w:rPr>
  </w:style>
  <w:style w:styleId="Style_24" w:type="paragraph">
    <w:name w:val="toc 5"/>
    <w:next w:val="Style_2"/>
    <w:link w:val="Style_24_ch"/>
    <w:uiPriority w:val="39"/>
    <w:pPr>
      <w:widowControl w:val="1"/>
      <w:ind w:firstLine="0" w:left="800"/>
    </w:pPr>
    <w:rPr>
      <w:sz w:val="28"/>
    </w:rPr>
  </w:style>
  <w:style w:styleId="Style_24_ch" w:type="character">
    <w:name w:val="toc 5"/>
    <w:link w:val="Style_24"/>
    <w:rPr>
      <w:sz w:val="28"/>
    </w:rPr>
  </w:style>
  <w:style w:styleId="Style_25" w:type="paragraph">
    <w:name w:val="Subtitle"/>
    <w:next w:val="Style_2"/>
    <w:link w:val="Style_25_ch"/>
    <w:uiPriority w:val="11"/>
    <w:qFormat/>
    <w:pPr>
      <w:widowControl w:val="1"/>
      <w:ind/>
      <w:jc w:val="both"/>
    </w:pPr>
    <w:rPr>
      <w:i w:val="1"/>
    </w:rPr>
  </w:style>
  <w:style w:styleId="Style_25_ch" w:type="character">
    <w:name w:val="Subtitle"/>
    <w:link w:val="Style_25"/>
    <w:rPr>
      <w:i w:val="1"/>
    </w:rPr>
  </w:style>
  <w:style w:styleId="Style_26" w:type="paragraph">
    <w:name w:val="Title"/>
    <w:next w:val="Style_2"/>
    <w:link w:val="Style_26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6_ch" w:type="character">
    <w:name w:val="Title"/>
    <w:link w:val="Style_26"/>
    <w:rPr>
      <w:b w:val="1"/>
      <w:caps w:val="1"/>
      <w:sz w:val="40"/>
    </w:rPr>
  </w:style>
  <w:style w:styleId="Style_27" w:type="paragraph">
    <w:name w:val="heading 4"/>
    <w:next w:val="Style_2"/>
    <w:link w:val="Style_27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3"/>
    </w:pPr>
    <w:rPr>
      <w:b w:val="1"/>
    </w:rPr>
  </w:style>
  <w:style w:styleId="Style_27_ch" w:type="character">
    <w:name w:val="heading 4"/>
    <w:link w:val="Style_27"/>
    <w:rPr>
      <w:b w:val="1"/>
    </w:rPr>
  </w:style>
  <w:style w:styleId="Style_28" w:type="paragraph">
    <w:name w:val="heading 2"/>
    <w:next w:val="Style_2"/>
    <w:link w:val="Style_28_ch"/>
    <w:uiPriority w:val="9"/>
    <w:qFormat/>
    <w:pPr>
      <w:widowControl w:val="1"/>
      <w:numPr>
        <w:ilvl w:val="0"/>
        <w:numId w:val="0"/>
      </w:numPr>
      <w:spacing w:after="120" w:before="120"/>
      <w:ind/>
      <w:jc w:val="both"/>
      <w:outlineLvl w:val="1"/>
    </w:pPr>
    <w:rPr>
      <w:b w:val="1"/>
      <w:sz w:val="28"/>
    </w:rPr>
  </w:style>
  <w:style w:styleId="Style_28_ch" w:type="character">
    <w:name w:val="heading 2"/>
    <w:link w:val="Style_28"/>
    <w:rPr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8" Target="footnotes.xml" Type="http://schemas.openxmlformats.org/officeDocument/2006/relationships/footnot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9" Target="endnotes.xml" Type="http://schemas.openxmlformats.org/officeDocument/2006/relationships/endnotes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2026-03-17T08:40:43Z</dcterms:created>
  <dcterms:modified xsi:type="dcterms:W3CDTF">2026-03-25T12:07:25Z</dcterms:modified>
</cp:coreProperties>
</file>